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33F6E">
      <w:pPr>
        <w:pStyle w:val="6"/>
        <w:numPr>
          <w:ilvl w:val="0"/>
          <w:numId w:val="0"/>
        </w:numPr>
        <w:jc w:val="left"/>
        <w:rPr>
          <w:rFonts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</w:pP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附件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default" w:cs="Times New Roman"/>
          <w:color w:val="000000"/>
          <w:kern w:val="0"/>
          <w:sz w:val="32"/>
          <w:szCs w:val="32"/>
          <w:highlight w:val="none"/>
          <w:shd w:val="clear" w:fill="FFFFFF"/>
          <w:lang w:bidi="ar"/>
        </w:rPr>
        <w:t>：</w:t>
      </w:r>
    </w:p>
    <w:p w14:paraId="1D31D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  <w:t>安徽省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知识产权交易所有限责任公司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</w:rPr>
        <w:t>202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4</w:t>
      </w:r>
      <w:r>
        <w:rPr>
          <w:rFonts w:hint="eastAsia" w:eastAsia="方正小标宋简体" w:cs="Times New Roman"/>
          <w:w w:val="95"/>
          <w:sz w:val="36"/>
          <w:szCs w:val="36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社会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eastAsia="zh-CN"/>
        </w:rPr>
        <w:t>公开</w:t>
      </w:r>
      <w:r>
        <w:rPr>
          <w:rFonts w:hint="default" w:asci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招聘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  <w:highlight w:val="none"/>
          <w:lang w:val="en-US" w:eastAsia="zh-CN"/>
        </w:rPr>
        <w:t>岗位简章</w:t>
      </w:r>
    </w:p>
    <w:tbl>
      <w:tblPr>
        <w:tblStyle w:val="4"/>
        <w:tblW w:w="15368" w:type="dxa"/>
        <w:tblInd w:w="-6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307"/>
        <w:gridCol w:w="1309"/>
        <w:gridCol w:w="1000"/>
        <w:gridCol w:w="1470"/>
        <w:gridCol w:w="1305"/>
        <w:gridCol w:w="1200"/>
        <w:gridCol w:w="5955"/>
        <w:gridCol w:w="1050"/>
      </w:tblGrid>
      <w:tr w14:paraId="56E2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2" w:type="dxa"/>
            <w:vMerge w:val="restart"/>
            <w:vAlign w:val="center"/>
          </w:tcPr>
          <w:p w14:paraId="130886E4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岗位</w:t>
            </w:r>
          </w:p>
          <w:p w14:paraId="5A96641F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07" w:type="dxa"/>
            <w:vMerge w:val="restart"/>
            <w:vAlign w:val="center"/>
          </w:tcPr>
          <w:p w14:paraId="17B2C216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用人</w:t>
            </w:r>
          </w:p>
          <w:p w14:paraId="76332890">
            <w:pPr>
              <w:spacing w:line="400" w:lineRule="exact"/>
              <w:jc w:val="center"/>
              <w:rPr>
                <w:rFonts w:hint="eastAsia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部门</w:t>
            </w:r>
            <w:r>
              <w:rPr>
                <w:rFonts w:hint="eastAsia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1309" w:type="dxa"/>
            <w:vMerge w:val="restart"/>
            <w:vAlign w:val="center"/>
          </w:tcPr>
          <w:p w14:paraId="6C835450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岗位</w:t>
            </w:r>
          </w:p>
        </w:tc>
        <w:tc>
          <w:tcPr>
            <w:tcW w:w="1000" w:type="dxa"/>
            <w:vMerge w:val="restart"/>
            <w:vAlign w:val="center"/>
          </w:tcPr>
          <w:p w14:paraId="43266AC3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招聘</w:t>
            </w:r>
          </w:p>
          <w:p w14:paraId="08112903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9930" w:type="dxa"/>
            <w:gridSpan w:val="4"/>
            <w:vAlign w:val="center"/>
          </w:tcPr>
          <w:p w14:paraId="59730585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应 聘 条 件 要 求</w:t>
            </w:r>
          </w:p>
        </w:tc>
        <w:tc>
          <w:tcPr>
            <w:tcW w:w="1050" w:type="dxa"/>
            <w:vMerge w:val="restart"/>
            <w:vAlign w:val="center"/>
          </w:tcPr>
          <w:p w14:paraId="1B9BCEE5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笔试</w:t>
            </w:r>
          </w:p>
          <w:p w14:paraId="66C90BFA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面试</w:t>
            </w:r>
          </w:p>
        </w:tc>
      </w:tr>
      <w:tr w14:paraId="7F39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772" w:type="dxa"/>
            <w:vMerge w:val="continue"/>
            <w:vAlign w:val="center"/>
          </w:tcPr>
          <w:p w14:paraId="2610573E">
            <w:pPr>
              <w:spacing w:line="40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07" w:type="dxa"/>
            <w:vMerge w:val="continue"/>
            <w:vAlign w:val="center"/>
          </w:tcPr>
          <w:p w14:paraId="0F6C1256">
            <w:pPr>
              <w:spacing w:line="40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09" w:type="dxa"/>
            <w:vMerge w:val="continue"/>
            <w:vAlign w:val="center"/>
          </w:tcPr>
          <w:p w14:paraId="4C1AF7AC">
            <w:pPr>
              <w:spacing w:line="40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0" w:type="dxa"/>
            <w:vMerge w:val="continue"/>
            <w:vAlign w:val="center"/>
          </w:tcPr>
          <w:p w14:paraId="09D36E04">
            <w:pPr>
              <w:spacing w:line="40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B0D0B7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05" w:type="dxa"/>
            <w:vAlign w:val="center"/>
          </w:tcPr>
          <w:p w14:paraId="1A9C4D9E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学历（学</w:t>
            </w:r>
          </w:p>
          <w:p w14:paraId="4E7E8628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位）要求</w:t>
            </w:r>
          </w:p>
        </w:tc>
        <w:tc>
          <w:tcPr>
            <w:tcW w:w="1200" w:type="dxa"/>
            <w:vAlign w:val="center"/>
          </w:tcPr>
          <w:p w14:paraId="1962A460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955" w:type="dxa"/>
            <w:vAlign w:val="center"/>
          </w:tcPr>
          <w:p w14:paraId="7BA62B3B">
            <w:pPr>
              <w:spacing w:line="400" w:lineRule="exact"/>
              <w:jc w:val="center"/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应聘资格</w:t>
            </w:r>
          </w:p>
        </w:tc>
        <w:tc>
          <w:tcPr>
            <w:tcW w:w="1050" w:type="dxa"/>
            <w:vMerge w:val="continue"/>
            <w:vAlign w:val="center"/>
          </w:tcPr>
          <w:p w14:paraId="78A2503A">
            <w:pPr>
              <w:spacing w:line="400" w:lineRule="exact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5D58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atLeast"/>
        </w:trPr>
        <w:tc>
          <w:tcPr>
            <w:tcW w:w="772" w:type="dxa"/>
            <w:vAlign w:val="center"/>
          </w:tcPr>
          <w:p w14:paraId="02AA6774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07" w:type="dxa"/>
            <w:vAlign w:val="center"/>
          </w:tcPr>
          <w:p w14:paraId="488C613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交易运营部</w:t>
            </w:r>
          </w:p>
        </w:tc>
        <w:tc>
          <w:tcPr>
            <w:tcW w:w="1309" w:type="dxa"/>
            <w:vAlign w:val="center"/>
          </w:tcPr>
          <w:p w14:paraId="1A6ED59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部长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岗</w:t>
            </w:r>
          </w:p>
        </w:tc>
        <w:tc>
          <w:tcPr>
            <w:tcW w:w="1000" w:type="dxa"/>
            <w:vAlign w:val="center"/>
          </w:tcPr>
          <w:p w14:paraId="2E5A653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 w14:paraId="3D704D5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  <w:p w14:paraId="7CD9629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9C1C99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法学、理学、工学类相关专业</w:t>
            </w:r>
          </w:p>
        </w:tc>
        <w:tc>
          <w:tcPr>
            <w:tcW w:w="1305" w:type="dxa"/>
            <w:vAlign w:val="center"/>
          </w:tcPr>
          <w:p w14:paraId="3DD2171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本科及以上学历</w:t>
            </w:r>
          </w:p>
        </w:tc>
        <w:tc>
          <w:tcPr>
            <w:tcW w:w="1200" w:type="dxa"/>
            <w:vAlign w:val="center"/>
          </w:tcPr>
          <w:p w14:paraId="48BFC081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周岁</w:t>
            </w:r>
          </w:p>
          <w:p w14:paraId="2780AD2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以下</w:t>
            </w:r>
          </w:p>
        </w:tc>
        <w:tc>
          <w:tcPr>
            <w:tcW w:w="5955" w:type="dxa"/>
            <w:vAlign w:val="center"/>
          </w:tcPr>
          <w:p w14:paraId="726EC572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具有5年及以上科研院所、高校、企业研发管理部门、孵化器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行业、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科技服务行业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成果转移转化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相关工作经验或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投资机构分析工作经验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且具有2年及以上团队管理经验；</w:t>
            </w:r>
          </w:p>
          <w:p w14:paraId="18221CED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熟练掌握知识产权法律法规和程序性要求；</w:t>
            </w:r>
          </w:p>
          <w:p w14:paraId="55DEED2C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熟悉企业知识产权申报流程，有企业知识产权体系建设经验者优先；</w:t>
            </w:r>
          </w:p>
          <w:p w14:paraId="4A5F9DC7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具有专利代理人资格证、技术经纪人资格证书者优先；</w:t>
            </w:r>
          </w:p>
          <w:p w14:paraId="6EE9D531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具备较强的统筹协调、资源整合及外部市场拓展能力；</w:t>
            </w:r>
          </w:p>
          <w:p w14:paraId="01BB632A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具备强烈的责任心、事业心和进取心，抗压能力强，能接受加班和出差。</w:t>
            </w:r>
          </w:p>
        </w:tc>
        <w:tc>
          <w:tcPr>
            <w:tcW w:w="1050" w:type="dxa"/>
            <w:vAlign w:val="center"/>
          </w:tcPr>
          <w:p w14:paraId="306ED77A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笔试+</w:t>
            </w:r>
          </w:p>
          <w:p w14:paraId="6365620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半结构化面试</w:t>
            </w:r>
          </w:p>
        </w:tc>
      </w:tr>
      <w:tr w14:paraId="1F4DE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1" w:hRule="atLeast"/>
        </w:trPr>
        <w:tc>
          <w:tcPr>
            <w:tcW w:w="772" w:type="dxa"/>
            <w:vAlign w:val="center"/>
          </w:tcPr>
          <w:p w14:paraId="06E636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07" w:type="dxa"/>
            <w:vAlign w:val="center"/>
          </w:tcPr>
          <w:p w14:paraId="33D285E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交易运营部</w:t>
            </w:r>
          </w:p>
        </w:tc>
        <w:tc>
          <w:tcPr>
            <w:tcW w:w="1309" w:type="dxa"/>
            <w:vAlign w:val="center"/>
          </w:tcPr>
          <w:p w14:paraId="7BFBF56D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业务经理岗</w:t>
            </w:r>
          </w:p>
        </w:tc>
        <w:tc>
          <w:tcPr>
            <w:tcW w:w="1000" w:type="dxa"/>
            <w:vAlign w:val="center"/>
          </w:tcPr>
          <w:p w14:paraId="718486E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470" w:type="dxa"/>
            <w:vAlign w:val="center"/>
          </w:tcPr>
          <w:p w14:paraId="1B5FA5F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法学、理学、工学类相关专业</w:t>
            </w:r>
          </w:p>
        </w:tc>
        <w:tc>
          <w:tcPr>
            <w:tcW w:w="1305" w:type="dxa"/>
            <w:vAlign w:val="center"/>
          </w:tcPr>
          <w:p w14:paraId="7FC6C0A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本科及以上学历</w:t>
            </w:r>
          </w:p>
        </w:tc>
        <w:tc>
          <w:tcPr>
            <w:tcW w:w="1200" w:type="dxa"/>
            <w:vAlign w:val="center"/>
          </w:tcPr>
          <w:p w14:paraId="3C0400D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周岁</w:t>
            </w:r>
          </w:p>
          <w:p w14:paraId="12E378E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以下</w:t>
            </w:r>
          </w:p>
        </w:tc>
        <w:tc>
          <w:tcPr>
            <w:tcW w:w="5955" w:type="dxa"/>
            <w:vAlign w:val="center"/>
          </w:tcPr>
          <w:p w14:paraId="434994B1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具有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年及以上科研院所、高校、企业研发管理部门、孵化器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行业、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科技服务行业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成果转移转化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相关工作经验或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投资机构分析工作经验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 w14:paraId="1AE1507F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2.熟练掌握知识产权法律法规和程序性要求；</w:t>
            </w:r>
          </w:p>
          <w:p w14:paraId="011BEDF3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3.具有专利代理人资格证、技术经纪人资格证书者优先；</w:t>
            </w:r>
          </w:p>
          <w:p w14:paraId="252034EC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4.具备较强的执行能力及组织纪律性，具有良好的分析判断能力、组织协调能力、团队协作能力、语言及文字表达能力；</w:t>
            </w:r>
          </w:p>
          <w:p w14:paraId="4DD7498B">
            <w:pPr>
              <w:spacing w:line="240" w:lineRule="auto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5.吃苦耐劳，责任心强，具有较强的抗压能力、学习能力，能适应独立出差。</w:t>
            </w:r>
          </w:p>
        </w:tc>
        <w:tc>
          <w:tcPr>
            <w:tcW w:w="1050" w:type="dxa"/>
            <w:vAlign w:val="center"/>
          </w:tcPr>
          <w:p w14:paraId="26BBC306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笔试+</w:t>
            </w:r>
          </w:p>
          <w:p w14:paraId="0AC637F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半结构化面试</w:t>
            </w:r>
          </w:p>
        </w:tc>
      </w:tr>
    </w:tbl>
    <w:p w14:paraId="046B5CF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highlight w:val="none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1.“年龄条件”中“4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周岁以下”为“19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月1日以后出生”“35周岁以下”为“198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月1日以后出生”（其它涉及年龄要求以此类推）；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</w:rPr>
        <w:t>.特别优秀者年龄等条件可适当放宽。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Cs w:val="21"/>
          <w:highlight w:val="none"/>
          <w:lang w:val="en-US" w:eastAsia="zh-CN"/>
        </w:rPr>
        <w:t>3.应聘资格中“5年工作经验”为“2019年10月1日以前开始在相关岗位工作”“3年工作经验”为“2021年10月1日以前开始在相关岗位工作”。</w:t>
      </w:r>
    </w:p>
    <w:p w14:paraId="1F32229B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wZDI0ZjEwOGQ2YTE4NWRmODMxZWQwNjlkZjZiZjQifQ=="/>
  </w:docVars>
  <w:rsids>
    <w:rsidRoot w:val="64A05BF2"/>
    <w:rsid w:val="64A0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ormal Indent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2024-10-10T03:01:00Z</dcterms:created>
  <dc:creator>MuMu</dc:creator>
  <cp:lastModifiedBy>MuMu</cp:lastModifiedBy>
  <dcterms:modified xsi:type="dcterms:W3CDTF">2024-10-10T03:01:29Z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B240E2725D07405996EAA243C20846FD_11</vt:lpwstr>
  </property>
</Properties>
</file>